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A7" w:rsidRPr="00C32BA7" w:rsidRDefault="00C32BA7" w:rsidP="00C32BA7">
      <w:pPr>
        <w:shd w:val="clear" w:color="auto" w:fill="FFFFFF"/>
        <w:spacing w:after="150"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Bill, 2011 was introduced in Parliament on 4 August 2011. The Bill seeks to establish the office of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to investigate and prosecute cases of corruption. In this Brief we discuss the key features of the Bill, the powers of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and procedure for conducting investigation and prosecution under the Bill.  We also </w:t>
      </w:r>
      <w:proofErr w:type="spellStart"/>
      <w:r w:rsidRPr="00C32BA7">
        <w:rPr>
          <w:rFonts w:ascii="AdobeCaslonRegular" w:eastAsia="Times New Roman" w:hAnsi="AdobeCaslonRegular" w:cs="Times New Roman"/>
          <w:color w:val="000000"/>
          <w:sz w:val="24"/>
          <w:szCs w:val="24"/>
        </w:rPr>
        <w:t>analyse</w:t>
      </w:r>
      <w:proofErr w:type="spellEnd"/>
      <w:r w:rsidRPr="00C32BA7">
        <w:rPr>
          <w:rFonts w:ascii="AdobeCaslonRegular" w:eastAsia="Times New Roman" w:hAnsi="AdobeCaslonRegular" w:cs="Times New Roman"/>
          <w:color w:val="000000"/>
          <w:sz w:val="24"/>
          <w:szCs w:val="24"/>
        </w:rPr>
        <w:t xml:space="preserve"> the scope of persons covered by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role of the CVC and CBI, procedures of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penalty against false and frivolous complaints and issues related to security of sensitive information. </w:t>
      </w:r>
      <w:r w:rsidRPr="00C32BA7">
        <w:rPr>
          <w:rFonts w:ascii="AdobeCaslonRegular" w:eastAsia="Times New Roman" w:hAnsi="AdobeCaslonRegular" w:cs="Times New Roman"/>
          <w:color w:val="000000"/>
          <w:sz w:val="24"/>
          <w:szCs w:val="24"/>
        </w:rPr>
        <w:br/>
      </w:r>
      <w:hyperlink r:id="rId5" w:tgtFrame="_blank" w:history="1">
        <w:proofErr w:type="spellStart"/>
        <w:r w:rsidRPr="00C32BA7">
          <w:rPr>
            <w:rFonts w:ascii="Mangal" w:eastAsia="Times New Roman" w:hAnsi="Mangal" w:cs="Mangal"/>
            <w:b/>
            <w:bCs/>
            <w:color w:val="0000FF"/>
            <w:sz w:val="24"/>
            <w:szCs w:val="24"/>
          </w:rPr>
          <w:t>हिंदी</w:t>
        </w:r>
        <w:proofErr w:type="spellEnd"/>
        <w:r w:rsidRPr="00C32BA7">
          <w:rPr>
            <w:rFonts w:ascii="Times New Roman" w:eastAsia="Times New Roman" w:hAnsi="Times New Roman" w:cs="Times New Roman"/>
            <w:b/>
            <w:bCs/>
            <w:color w:val="0000FF"/>
            <w:sz w:val="24"/>
            <w:szCs w:val="24"/>
          </w:rPr>
          <w:t xml:space="preserve"> </w:t>
        </w:r>
        <w:proofErr w:type="spellStart"/>
        <w:r w:rsidRPr="00C32BA7">
          <w:rPr>
            <w:rFonts w:ascii="Mangal" w:eastAsia="Times New Roman" w:hAnsi="Mangal" w:cs="Mangal"/>
            <w:b/>
            <w:bCs/>
            <w:color w:val="0000FF"/>
            <w:sz w:val="24"/>
            <w:szCs w:val="24"/>
          </w:rPr>
          <w:t>के</w:t>
        </w:r>
        <w:proofErr w:type="spellEnd"/>
        <w:r w:rsidRPr="00C32BA7">
          <w:rPr>
            <w:rFonts w:ascii="Times New Roman" w:eastAsia="Times New Roman" w:hAnsi="Times New Roman" w:cs="Times New Roman"/>
            <w:b/>
            <w:bCs/>
            <w:color w:val="0000FF"/>
            <w:sz w:val="24"/>
            <w:szCs w:val="24"/>
          </w:rPr>
          <w:t xml:space="preserve"> </w:t>
        </w:r>
        <w:proofErr w:type="spellStart"/>
        <w:r w:rsidRPr="00C32BA7">
          <w:rPr>
            <w:rFonts w:ascii="Mangal" w:eastAsia="Times New Roman" w:hAnsi="Mangal" w:cs="Mangal"/>
            <w:b/>
            <w:bCs/>
            <w:color w:val="0000FF"/>
            <w:sz w:val="24"/>
            <w:szCs w:val="24"/>
          </w:rPr>
          <w:t>लिए</w:t>
        </w:r>
        <w:proofErr w:type="spellEnd"/>
        <w:r w:rsidRPr="00C32BA7">
          <w:rPr>
            <w:rFonts w:ascii="Times New Roman" w:eastAsia="Times New Roman" w:hAnsi="Times New Roman" w:cs="Times New Roman"/>
            <w:b/>
            <w:bCs/>
            <w:color w:val="0000FF"/>
            <w:sz w:val="24"/>
            <w:szCs w:val="24"/>
          </w:rPr>
          <w:t xml:space="preserve"> </w:t>
        </w:r>
        <w:proofErr w:type="spellStart"/>
        <w:r w:rsidRPr="00C32BA7">
          <w:rPr>
            <w:rFonts w:ascii="Mangal" w:eastAsia="Times New Roman" w:hAnsi="Mangal" w:cs="Mangal"/>
            <w:b/>
            <w:bCs/>
            <w:color w:val="0000FF"/>
            <w:sz w:val="24"/>
            <w:szCs w:val="24"/>
          </w:rPr>
          <w:t>यहाँ</w:t>
        </w:r>
        <w:proofErr w:type="spellEnd"/>
        <w:r w:rsidRPr="00C32BA7">
          <w:rPr>
            <w:rFonts w:ascii="Times New Roman" w:eastAsia="Times New Roman" w:hAnsi="Times New Roman" w:cs="Times New Roman"/>
            <w:b/>
            <w:bCs/>
            <w:color w:val="0000FF"/>
            <w:sz w:val="24"/>
            <w:szCs w:val="24"/>
          </w:rPr>
          <w:t xml:space="preserve"> </w:t>
        </w:r>
        <w:proofErr w:type="spellStart"/>
        <w:r w:rsidRPr="00C32BA7">
          <w:rPr>
            <w:rFonts w:ascii="Mangal" w:eastAsia="Times New Roman" w:hAnsi="Mangal" w:cs="Mangal"/>
            <w:b/>
            <w:bCs/>
            <w:color w:val="0000FF"/>
            <w:sz w:val="24"/>
            <w:szCs w:val="24"/>
          </w:rPr>
          <w:t>क्लिक</w:t>
        </w:r>
        <w:proofErr w:type="spellEnd"/>
        <w:r w:rsidRPr="00C32BA7">
          <w:rPr>
            <w:rFonts w:ascii="Times New Roman" w:eastAsia="Times New Roman" w:hAnsi="Times New Roman" w:cs="Times New Roman"/>
            <w:b/>
            <w:bCs/>
            <w:color w:val="0000FF"/>
            <w:sz w:val="24"/>
            <w:szCs w:val="24"/>
          </w:rPr>
          <w:t xml:space="preserve"> </w:t>
        </w:r>
        <w:proofErr w:type="spellStart"/>
        <w:r w:rsidRPr="00C32BA7">
          <w:rPr>
            <w:rFonts w:ascii="Mangal" w:eastAsia="Times New Roman" w:hAnsi="Mangal" w:cs="Mangal"/>
            <w:b/>
            <w:bCs/>
            <w:color w:val="0000FF"/>
            <w:sz w:val="24"/>
            <w:szCs w:val="24"/>
          </w:rPr>
          <w:t>करें</w:t>
        </w:r>
        <w:proofErr w:type="spellEnd"/>
      </w:hyperlink>
    </w:p>
    <w:p w:rsidR="00C32BA7" w:rsidRPr="00C32BA7" w:rsidRDefault="00C32BA7" w:rsidP="00C32BA7">
      <w:pPr>
        <w:shd w:val="clear" w:color="auto" w:fill="FFFFFF"/>
        <w:spacing w:before="150" w:after="150" w:line="240" w:lineRule="auto"/>
        <w:outlineLvl w:val="3"/>
        <w:rPr>
          <w:rFonts w:ascii="AdobeCaslonRegular" w:eastAsia="Times New Roman" w:hAnsi="AdobeCaslonRegular" w:cs="Times New Roman"/>
          <w:b/>
          <w:bCs/>
          <w:color w:val="000000"/>
          <w:sz w:val="27"/>
          <w:szCs w:val="27"/>
        </w:rPr>
      </w:pPr>
      <w:r w:rsidRPr="00C32BA7">
        <w:rPr>
          <w:rFonts w:ascii="AdobeCaslonRegular" w:eastAsia="Times New Roman" w:hAnsi="AdobeCaslonRegular" w:cs="Times New Roman"/>
          <w:b/>
          <w:bCs/>
          <w:color w:val="000000"/>
          <w:sz w:val="27"/>
          <w:szCs w:val="27"/>
        </w:rPr>
        <w:t>Highlights of the Bill</w:t>
      </w:r>
    </w:p>
    <w:p w:rsidR="00C32BA7" w:rsidRPr="00C32BA7" w:rsidRDefault="00C32BA7" w:rsidP="00C32BA7">
      <w:pPr>
        <w:numPr>
          <w:ilvl w:val="0"/>
          <w:numId w:val="1"/>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The Bill seeks to establish the office of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to investigate and prosecute cases of corruption.  </w:t>
      </w:r>
    </w:p>
    <w:p w:rsidR="00C32BA7" w:rsidRPr="00C32BA7" w:rsidRDefault="00C32BA7" w:rsidP="00C32BA7">
      <w:pPr>
        <w:numPr>
          <w:ilvl w:val="0"/>
          <w:numId w:val="2"/>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will cover the Prime Minister after he demits office, Ministers, Members of Parliament, Group ‘</w:t>
      </w:r>
      <w:proofErr w:type="gramStart"/>
      <w:r w:rsidRPr="00C32BA7">
        <w:rPr>
          <w:rFonts w:ascii="AdobeCaslonRegular" w:eastAsia="Times New Roman" w:hAnsi="AdobeCaslonRegular" w:cs="Times New Roman"/>
          <w:color w:val="000000"/>
          <w:sz w:val="24"/>
          <w:szCs w:val="24"/>
        </w:rPr>
        <w:t>A</w:t>
      </w:r>
      <w:proofErr w:type="gramEnd"/>
      <w:r w:rsidRPr="00C32BA7">
        <w:rPr>
          <w:rFonts w:ascii="AdobeCaslonRegular" w:eastAsia="Times New Roman" w:hAnsi="AdobeCaslonRegular" w:cs="Times New Roman"/>
          <w:color w:val="000000"/>
          <w:sz w:val="24"/>
          <w:szCs w:val="24"/>
        </w:rPr>
        <w:t xml:space="preserve">’ officers and officers of </w:t>
      </w:r>
      <w:proofErr w:type="spellStart"/>
      <w:r w:rsidRPr="00C32BA7">
        <w:rPr>
          <w:rFonts w:ascii="AdobeCaslonRegular" w:eastAsia="Times New Roman" w:hAnsi="AdobeCaslonRegular" w:cs="Times New Roman"/>
          <w:color w:val="000000"/>
          <w:sz w:val="24"/>
          <w:szCs w:val="24"/>
        </w:rPr>
        <w:t>organisations</w:t>
      </w:r>
      <w:proofErr w:type="spellEnd"/>
      <w:r w:rsidRPr="00C32BA7">
        <w:rPr>
          <w:rFonts w:ascii="AdobeCaslonRegular" w:eastAsia="Times New Roman" w:hAnsi="AdobeCaslonRegular" w:cs="Times New Roman"/>
          <w:color w:val="000000"/>
          <w:sz w:val="24"/>
          <w:szCs w:val="24"/>
        </w:rPr>
        <w:t xml:space="preserve"> which are either government aided or funded by public donations.</w:t>
      </w:r>
    </w:p>
    <w:p w:rsidR="00C32BA7" w:rsidRPr="00C32BA7" w:rsidRDefault="00C32BA7" w:rsidP="00C32BA7">
      <w:pPr>
        <w:numPr>
          <w:ilvl w:val="0"/>
          <w:numId w:val="3"/>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Any person may make a complaint against a public servant within seven years of the offence.  The Bill provides a process for investigation and inquiry.   </w:t>
      </w:r>
    </w:p>
    <w:p w:rsidR="00C32BA7" w:rsidRPr="00C32BA7" w:rsidRDefault="00C32BA7" w:rsidP="00C32BA7">
      <w:pPr>
        <w:numPr>
          <w:ilvl w:val="0"/>
          <w:numId w:val="4"/>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If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finds that an offence has been committed it may recommend disciplinary action and file a case in the Special Court.</w:t>
      </w:r>
    </w:p>
    <w:p w:rsidR="00C32BA7" w:rsidRPr="00C32BA7" w:rsidRDefault="00C32BA7" w:rsidP="00C32BA7">
      <w:pPr>
        <w:numPr>
          <w:ilvl w:val="0"/>
          <w:numId w:val="5"/>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The Bill enhances penalties for certain offences under the Prevention of Corruption Act, 1988 from seven years to ten years.  It also imposes penalties for false and frivolous complaints.</w:t>
      </w:r>
    </w:p>
    <w:p w:rsidR="00C32BA7" w:rsidRPr="00C32BA7" w:rsidRDefault="00C32BA7" w:rsidP="00C32BA7">
      <w:pPr>
        <w:numPr>
          <w:ilvl w:val="0"/>
          <w:numId w:val="6"/>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All expenses of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will be charged to the Consolidated Fund of India. </w:t>
      </w:r>
    </w:p>
    <w:p w:rsidR="00C32BA7" w:rsidRPr="00C32BA7" w:rsidRDefault="00C32BA7" w:rsidP="00C32BA7">
      <w:pPr>
        <w:shd w:val="clear" w:color="auto" w:fill="FFFFFF"/>
        <w:spacing w:before="150" w:after="150" w:line="240" w:lineRule="auto"/>
        <w:outlineLvl w:val="3"/>
        <w:rPr>
          <w:rFonts w:ascii="AdobeCaslonRegular" w:eastAsia="Times New Roman" w:hAnsi="AdobeCaslonRegular" w:cs="Times New Roman"/>
          <w:b/>
          <w:bCs/>
          <w:color w:val="000000"/>
          <w:sz w:val="27"/>
          <w:szCs w:val="27"/>
        </w:rPr>
      </w:pPr>
      <w:r w:rsidRPr="00C32BA7">
        <w:rPr>
          <w:rFonts w:ascii="AdobeCaslonRegular" w:eastAsia="Times New Roman" w:hAnsi="AdobeCaslonRegular" w:cs="Times New Roman"/>
          <w:b/>
          <w:bCs/>
          <w:color w:val="000000"/>
          <w:sz w:val="27"/>
          <w:szCs w:val="27"/>
        </w:rPr>
        <w:t>Key Issues and Analysis</w:t>
      </w:r>
    </w:p>
    <w:p w:rsidR="00C32BA7" w:rsidRPr="00C32BA7" w:rsidRDefault="00C32BA7" w:rsidP="00C32BA7">
      <w:pPr>
        <w:numPr>
          <w:ilvl w:val="0"/>
          <w:numId w:val="7"/>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Currently, the Central Vigilance Commission has jurisdiction over Group ‘</w:t>
      </w:r>
      <w:proofErr w:type="gramStart"/>
      <w:r w:rsidRPr="00C32BA7">
        <w:rPr>
          <w:rFonts w:ascii="AdobeCaslonRegular" w:eastAsia="Times New Roman" w:hAnsi="AdobeCaslonRegular" w:cs="Times New Roman"/>
          <w:color w:val="000000"/>
          <w:sz w:val="24"/>
          <w:szCs w:val="24"/>
        </w:rPr>
        <w:t>A</w:t>
      </w:r>
      <w:proofErr w:type="gramEnd"/>
      <w:r w:rsidRPr="00C32BA7">
        <w:rPr>
          <w:rFonts w:ascii="AdobeCaslonRegular" w:eastAsia="Times New Roman" w:hAnsi="AdobeCaslonRegular" w:cs="Times New Roman"/>
          <w:color w:val="000000"/>
          <w:sz w:val="24"/>
          <w:szCs w:val="24"/>
        </w:rPr>
        <w:t xml:space="preserve">’ officers.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will also investigate Group ‘</w:t>
      </w:r>
      <w:proofErr w:type="gramStart"/>
      <w:r w:rsidRPr="00C32BA7">
        <w:rPr>
          <w:rFonts w:ascii="AdobeCaslonRegular" w:eastAsia="Times New Roman" w:hAnsi="AdobeCaslonRegular" w:cs="Times New Roman"/>
          <w:color w:val="000000"/>
          <w:sz w:val="24"/>
          <w:szCs w:val="24"/>
        </w:rPr>
        <w:t>A</w:t>
      </w:r>
      <w:proofErr w:type="gramEnd"/>
      <w:r w:rsidRPr="00C32BA7">
        <w:rPr>
          <w:rFonts w:ascii="AdobeCaslonRegular" w:eastAsia="Times New Roman" w:hAnsi="AdobeCaslonRegular" w:cs="Times New Roman"/>
          <w:color w:val="000000"/>
          <w:sz w:val="24"/>
          <w:szCs w:val="24"/>
        </w:rPr>
        <w:t>’ officers.  Therefore, there may be dual jurisdiction over these officers.</w:t>
      </w:r>
    </w:p>
    <w:p w:rsidR="00C32BA7" w:rsidRPr="00C32BA7" w:rsidRDefault="00C32BA7" w:rsidP="00C32BA7">
      <w:pPr>
        <w:numPr>
          <w:ilvl w:val="0"/>
          <w:numId w:val="8"/>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The Bill creates an Investigation Wing under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An earlier Standing Committee had recommended against creating additional investigation agencies.  </w:t>
      </w:r>
    </w:p>
    <w:p w:rsidR="00C32BA7" w:rsidRPr="00C32BA7" w:rsidRDefault="00C32BA7" w:rsidP="00C32BA7">
      <w:pPr>
        <w:numPr>
          <w:ilvl w:val="0"/>
          <w:numId w:val="9"/>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The Bill expands the definition of public servant to include certain private persons under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This differs from provisions under several other Acts.   </w:t>
      </w:r>
    </w:p>
    <w:p w:rsidR="00C32BA7" w:rsidRPr="00C32BA7" w:rsidRDefault="00C32BA7" w:rsidP="00C32BA7">
      <w:pPr>
        <w:numPr>
          <w:ilvl w:val="0"/>
          <w:numId w:val="10"/>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There are some gaps in the inquiry and prosecution procedure.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cannot prosecute private persons who abet corruption.  The seven-year limitation on filing complaints may prevent prosecution of a two-term Prime Minister in the early years of his tenure.   </w:t>
      </w:r>
    </w:p>
    <w:p w:rsidR="00C32BA7" w:rsidRPr="00C32BA7" w:rsidRDefault="00C32BA7" w:rsidP="00C32BA7">
      <w:pPr>
        <w:numPr>
          <w:ilvl w:val="0"/>
          <w:numId w:val="11"/>
        </w:numPr>
        <w:shd w:val="clear" w:color="auto" w:fill="FFFFFF"/>
        <w:spacing w:before="100" w:beforeAutospacing="1" w:after="100" w:afterAutospacing="1"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lastRenderedPageBreak/>
        <w:t>The penalty prescribed for false and frivolous complaints is different from other similar laws and Bills. </w:t>
      </w:r>
    </w:p>
    <w:p w:rsidR="00C32BA7" w:rsidRPr="00C32BA7" w:rsidRDefault="00C32BA7" w:rsidP="00C32BA7">
      <w:pPr>
        <w:shd w:val="clear" w:color="auto" w:fill="FFFFFF"/>
        <w:spacing w:after="150" w:line="240" w:lineRule="auto"/>
        <w:rPr>
          <w:rFonts w:ascii="AdobeCaslonRegular" w:eastAsia="Times New Roman" w:hAnsi="AdobeCaslonRegular" w:cs="Times New Roman"/>
          <w:color w:val="000000"/>
          <w:sz w:val="24"/>
          <w:szCs w:val="24"/>
        </w:rPr>
      </w:pPr>
      <w:hyperlink r:id="rId6" w:tgtFrame="_blank" w:history="1">
        <w:r w:rsidRPr="00C32BA7">
          <w:rPr>
            <w:rFonts w:ascii="AdobeCaslonRegular" w:eastAsia="Times New Roman" w:hAnsi="AdobeCaslonRegular" w:cs="Times New Roman"/>
            <w:color w:val="01519A"/>
            <w:sz w:val="24"/>
            <w:szCs w:val="24"/>
            <w:u w:val="single"/>
          </w:rPr>
          <w:t>Read the complete analysis here</w:t>
        </w:r>
      </w:hyperlink>
    </w:p>
    <w:p w:rsidR="00C32BA7" w:rsidRPr="00C32BA7" w:rsidRDefault="00C32BA7" w:rsidP="00C32BA7">
      <w:pPr>
        <w:shd w:val="clear" w:color="auto" w:fill="FFFFFF"/>
        <w:spacing w:after="150"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xml:space="preserve">In this context, it is useful to understand the current laws and authorities to curb corruption, and to examine the effectiveness of the current systems. In this page, we collate PRS notes and articles on these issues, as well as links to various Acts and Notifications related to corruption. A copy of the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Pal Bill as introduced in </w:t>
      </w:r>
      <w:proofErr w:type="spellStart"/>
      <w:r w:rsidRPr="00C32BA7">
        <w:rPr>
          <w:rFonts w:ascii="AdobeCaslonRegular" w:eastAsia="Times New Roman" w:hAnsi="AdobeCaslonRegular" w:cs="Times New Roman"/>
          <w:color w:val="000000"/>
          <w:sz w:val="24"/>
          <w:szCs w:val="24"/>
        </w:rPr>
        <w:t>Lok</w:t>
      </w:r>
      <w:proofErr w:type="spellEnd"/>
      <w:r w:rsidRPr="00C32BA7">
        <w:rPr>
          <w:rFonts w:ascii="AdobeCaslonRegular" w:eastAsia="Times New Roman" w:hAnsi="AdobeCaslonRegular" w:cs="Times New Roman"/>
          <w:color w:val="000000"/>
          <w:sz w:val="24"/>
          <w:szCs w:val="24"/>
        </w:rPr>
        <w:t xml:space="preserve"> </w:t>
      </w:r>
      <w:proofErr w:type="spellStart"/>
      <w:r w:rsidRPr="00C32BA7">
        <w:rPr>
          <w:rFonts w:ascii="AdobeCaslonRegular" w:eastAsia="Times New Roman" w:hAnsi="AdobeCaslonRegular" w:cs="Times New Roman"/>
          <w:color w:val="000000"/>
          <w:sz w:val="24"/>
          <w:szCs w:val="24"/>
        </w:rPr>
        <w:t>Sabha</w:t>
      </w:r>
      <w:proofErr w:type="spellEnd"/>
      <w:r w:rsidRPr="00C32BA7">
        <w:rPr>
          <w:rFonts w:ascii="AdobeCaslonRegular" w:eastAsia="Times New Roman" w:hAnsi="AdobeCaslonRegular" w:cs="Times New Roman"/>
          <w:color w:val="000000"/>
          <w:sz w:val="24"/>
          <w:szCs w:val="24"/>
        </w:rPr>
        <w:t xml:space="preserve"> can be downloaded from this page.  </w:t>
      </w:r>
      <w:hyperlink r:id="rId7" w:history="1">
        <w:r w:rsidRPr="00C32BA7">
          <w:rPr>
            <w:rFonts w:ascii="AdobeCaslonRegular" w:eastAsia="Times New Roman" w:hAnsi="AdobeCaslonRegular" w:cs="Times New Roman"/>
            <w:color w:val="01519A"/>
            <w:sz w:val="24"/>
            <w:szCs w:val="24"/>
            <w:u w:val="single"/>
          </w:rPr>
          <w:t xml:space="preserve">Know all about the </w:t>
        </w:r>
        <w:proofErr w:type="spellStart"/>
        <w:r w:rsidRPr="00C32BA7">
          <w:rPr>
            <w:rFonts w:ascii="AdobeCaslonRegular" w:eastAsia="Times New Roman" w:hAnsi="AdobeCaslonRegular" w:cs="Times New Roman"/>
            <w:color w:val="01519A"/>
            <w:sz w:val="24"/>
            <w:szCs w:val="24"/>
            <w:u w:val="single"/>
          </w:rPr>
          <w:t>Lokpal</w:t>
        </w:r>
        <w:proofErr w:type="spellEnd"/>
        <w:r w:rsidRPr="00C32BA7">
          <w:rPr>
            <w:rFonts w:ascii="AdobeCaslonRegular" w:eastAsia="Times New Roman" w:hAnsi="AdobeCaslonRegular" w:cs="Times New Roman"/>
            <w:color w:val="01519A"/>
            <w:sz w:val="24"/>
            <w:szCs w:val="24"/>
            <w:u w:val="single"/>
          </w:rPr>
          <w:t xml:space="preserve"> Bill here</w:t>
        </w:r>
      </w:hyperlink>
    </w:p>
    <w:p w:rsidR="00C32BA7" w:rsidRPr="00C32BA7" w:rsidRDefault="00C32BA7" w:rsidP="00C32BA7">
      <w:pPr>
        <w:shd w:val="clear" w:color="auto" w:fill="FFFFFF"/>
        <w:spacing w:after="150"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4"/>
          <w:szCs w:val="24"/>
        </w:rPr>
        <w:t> </w:t>
      </w:r>
    </w:p>
    <w:p w:rsidR="00C32BA7" w:rsidRPr="00C32BA7" w:rsidRDefault="00C32BA7" w:rsidP="00C32BA7">
      <w:pPr>
        <w:shd w:val="clear" w:color="auto" w:fill="FFFFFF"/>
        <w:spacing w:after="0" w:line="240" w:lineRule="auto"/>
        <w:rPr>
          <w:rFonts w:ascii="AdobeCaslonRegular" w:eastAsia="Times New Roman" w:hAnsi="AdobeCaslonRegular" w:cs="Times New Roman"/>
          <w:color w:val="000000"/>
          <w:sz w:val="24"/>
          <w:szCs w:val="24"/>
        </w:rPr>
      </w:pPr>
      <w:r w:rsidRPr="00C32BA7">
        <w:rPr>
          <w:rFonts w:ascii="AdobeCaslonRegular" w:eastAsia="Times New Roman" w:hAnsi="AdobeCaslonRegular" w:cs="Times New Roman"/>
          <w:color w:val="000000"/>
          <w:sz w:val="21"/>
          <w:szCs w:val="21"/>
        </w:rPr>
        <w:t>DISCLAIMER: This document is being furnished to you for your information.  You may choose to reproduce or redistribute this report for non-commercial purposes in part or in full to any other person with due acknowledgement of PRS Legislative Research   (“PRS”).  The opinions expressed herein are entirely those of the author(s).  PRS makes every effort to use reliable and comprehensive information, but PRS does not represent that the contents of the report are accurate or complete.  PRS is an independent, not-for-profit group. This document has been prepared without regard to the objectives or opinions of those who may receive it.</w:t>
      </w:r>
    </w:p>
    <w:p w:rsidR="006E0F8E" w:rsidRDefault="00C32BA7"/>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dobeCaslonRegular">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275D"/>
    <w:multiLevelType w:val="multilevel"/>
    <w:tmpl w:val="A5F88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A6149C"/>
    <w:multiLevelType w:val="multilevel"/>
    <w:tmpl w:val="BAB8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4D53BED"/>
    <w:multiLevelType w:val="multilevel"/>
    <w:tmpl w:val="74568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8ED19DF"/>
    <w:multiLevelType w:val="multilevel"/>
    <w:tmpl w:val="7CC61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E80701E"/>
    <w:multiLevelType w:val="multilevel"/>
    <w:tmpl w:val="149C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2527ACF"/>
    <w:multiLevelType w:val="multilevel"/>
    <w:tmpl w:val="6594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3330A7F"/>
    <w:multiLevelType w:val="multilevel"/>
    <w:tmpl w:val="D2D2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4201200"/>
    <w:multiLevelType w:val="multilevel"/>
    <w:tmpl w:val="9490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4417024"/>
    <w:multiLevelType w:val="multilevel"/>
    <w:tmpl w:val="C1D4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4F31785"/>
    <w:multiLevelType w:val="multilevel"/>
    <w:tmpl w:val="0CC40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B7C51D6"/>
    <w:multiLevelType w:val="multilevel"/>
    <w:tmpl w:val="83B2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7"/>
  </w:num>
  <w:num w:numId="3">
    <w:abstractNumId w:val="8"/>
  </w:num>
  <w:num w:numId="4">
    <w:abstractNumId w:val="4"/>
  </w:num>
  <w:num w:numId="5">
    <w:abstractNumId w:val="0"/>
  </w:num>
  <w:num w:numId="6">
    <w:abstractNumId w:val="6"/>
  </w:num>
  <w:num w:numId="7">
    <w:abstractNumId w:val="1"/>
  </w:num>
  <w:num w:numId="8">
    <w:abstractNumId w:val="3"/>
  </w:num>
  <w:num w:numId="9">
    <w:abstractNumId w:val="5"/>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2BA7"/>
    <w:rsid w:val="004E5A86"/>
    <w:rsid w:val="00872D89"/>
    <w:rsid w:val="00957171"/>
    <w:rsid w:val="009D7BD6"/>
    <w:rsid w:val="00C32BA7"/>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4">
    <w:name w:val="heading 4"/>
    <w:basedOn w:val="Normal"/>
    <w:link w:val="Heading4Char"/>
    <w:uiPriority w:val="9"/>
    <w:qFormat/>
    <w:rsid w:val="00C32BA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32BA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32B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32BA7"/>
    <w:rPr>
      <w:color w:val="0000FF"/>
      <w:u w:val="single"/>
    </w:rPr>
  </w:style>
  <w:style w:type="character" w:styleId="Strong">
    <w:name w:val="Strong"/>
    <w:basedOn w:val="DefaultParagraphFont"/>
    <w:uiPriority w:val="22"/>
    <w:qFormat/>
    <w:rsid w:val="00C32BA7"/>
    <w:rPr>
      <w:b/>
      <w:bCs/>
    </w:rPr>
  </w:style>
</w:styles>
</file>

<file path=word/webSettings.xml><?xml version="1.0" encoding="utf-8"?>
<w:webSettings xmlns:r="http://schemas.openxmlformats.org/officeDocument/2006/relationships" xmlns:w="http://schemas.openxmlformats.org/wordprocessingml/2006/main">
  <w:divs>
    <w:div w:id="1185364836">
      <w:bodyDiv w:val="1"/>
      <w:marLeft w:val="0"/>
      <w:marRight w:val="0"/>
      <w:marTop w:val="0"/>
      <w:marBottom w:val="0"/>
      <w:divBdr>
        <w:top w:val="none" w:sz="0" w:space="0" w:color="auto"/>
        <w:left w:val="none" w:sz="0" w:space="0" w:color="auto"/>
        <w:bottom w:val="none" w:sz="0" w:space="0" w:color="auto"/>
        <w:right w:val="none" w:sz="0" w:space="0" w:color="auto"/>
      </w:divBdr>
      <w:divsChild>
        <w:div w:id="1431511184">
          <w:marLeft w:val="0"/>
          <w:marRight w:val="0"/>
          <w:marTop w:val="0"/>
          <w:marBottom w:val="0"/>
          <w:divBdr>
            <w:top w:val="none" w:sz="0" w:space="0" w:color="auto"/>
            <w:left w:val="none" w:sz="0" w:space="0" w:color="auto"/>
            <w:bottom w:val="none" w:sz="0" w:space="0" w:color="auto"/>
            <w:right w:val="none" w:sz="0" w:space="0" w:color="auto"/>
          </w:divBdr>
          <w:divsChild>
            <w:div w:id="991057278">
              <w:marLeft w:val="0"/>
              <w:marRight w:val="0"/>
              <w:marTop w:val="0"/>
              <w:marBottom w:val="0"/>
              <w:divBdr>
                <w:top w:val="none" w:sz="0" w:space="0" w:color="auto"/>
                <w:left w:val="none" w:sz="0" w:space="0" w:color="auto"/>
                <w:bottom w:val="none" w:sz="0" w:space="0" w:color="auto"/>
                <w:right w:val="none" w:sz="0" w:space="0" w:color="auto"/>
              </w:divBdr>
              <w:divsChild>
                <w:div w:id="177013221">
                  <w:marLeft w:val="0"/>
                  <w:marRight w:val="0"/>
                  <w:marTop w:val="0"/>
                  <w:marBottom w:val="0"/>
                  <w:divBdr>
                    <w:top w:val="none" w:sz="0" w:space="0" w:color="auto"/>
                    <w:left w:val="none" w:sz="0" w:space="0" w:color="auto"/>
                    <w:bottom w:val="none" w:sz="0" w:space="0" w:color="auto"/>
                    <w:right w:val="none" w:sz="0" w:space="0" w:color="auto"/>
                  </w:divBdr>
                  <w:divsChild>
                    <w:div w:id="58033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sindia.org/pages/all-about-the-lok-pal-bill-1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sindia.org/uploads/media/Lokpal/Lok%20pal%20Final%20Brief%20for%20printing.pdf" TargetMode="External"/><Relationship Id="rId5" Type="http://schemas.openxmlformats.org/officeDocument/2006/relationships/hyperlink" Target="http://www.prsindia.org/uploads/media/Lok%20Pal%20Bill%202011/Lokpal_Legislative_Brief_Hindi.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3245</Characters>
  <Application>Microsoft Office Word</Application>
  <DocSecurity>0</DocSecurity>
  <Lines>27</Lines>
  <Paragraphs>7</Paragraphs>
  <ScaleCrop>false</ScaleCrop>
  <Company/>
  <LinksUpToDate>false</LinksUpToDate>
  <CharactersWithSpaces>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2019-03-29T07:39:00Z</dcterms:created>
  <dcterms:modified xsi:type="dcterms:W3CDTF">2019-03-29T07:39:00Z</dcterms:modified>
</cp:coreProperties>
</file>